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rFonts w:ascii="Arial" w:cs="Arial" w:eastAsia="Arial" w:hAnsi="Arial"/>
          <w:b w:val="0"/>
          <w:sz w:val="40"/>
          <w:szCs w:val="40"/>
          <w:vertAlign w:val="baseline"/>
        </w:rPr>
      </w:pPr>
      <w:r w:rsidDel="00000000" w:rsidR="00000000" w:rsidRPr="00000000">
        <w:rPr>
          <w:vertAlign w:val="baseline"/>
        </w:rPr>
        <w:drawing>
          <wp:inline distB="0" distT="0" distL="114300" distR="114300">
            <wp:extent cx="3458845" cy="71501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58845" cy="7150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rFonts w:ascii="Arial" w:cs="Arial" w:eastAsia="Arial" w:hAnsi="Arial"/>
          <w:b w:val="0"/>
          <w:sz w:val="40"/>
          <w:szCs w:val="40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40"/>
          <w:szCs w:val="40"/>
          <w:u w:val="single"/>
          <w:rtl w:val="0"/>
        </w:rPr>
        <w:t xml:space="preserve">Tweedmouth Prior Park First </w:t>
      </w:r>
      <w:r w:rsidDel="00000000" w:rsidR="00000000" w:rsidRPr="00000000">
        <w:rPr>
          <w:rFonts w:ascii="Arial" w:cs="Arial" w:eastAsia="Arial" w:hAnsi="Arial"/>
          <w:b w:val="1"/>
          <w:sz w:val="40"/>
          <w:szCs w:val="40"/>
          <w:u w:val="single"/>
          <w:vertAlign w:val="baseline"/>
          <w:rtl w:val="0"/>
        </w:rPr>
        <w:t xml:space="preserve">School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rFonts w:ascii="Arial" w:cs="Arial" w:eastAsia="Arial" w:hAnsi="Arial"/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90"/>
        <w:tblGridChange w:id="0">
          <w:tblGrid>
            <w:gridCol w:w="1029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jc w:val="center"/>
              <w:rPr>
                <w:rFonts w:ascii="Arial" w:cs="Arial" w:eastAsia="Arial" w:hAnsi="Arial"/>
                <w:b w:val="1"/>
                <w:sz w:val="40"/>
                <w:szCs w:val="4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40"/>
                <w:szCs w:val="40"/>
                <w:rtl w:val="0"/>
              </w:rPr>
              <w:t xml:space="preserve">Headship application pack – Contents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Letter from Chair of Governors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School Information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ab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Guide for applicants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ab/>
              <w:tab/>
              <w:tab/>
              <w:tab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Job Description and Person Specification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Working and Living in Northumberland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Berwick partnership of schools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Equality in Employment Policy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Criminal Records Policy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     Immigration, Asylum and Nationality Act 2006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Application Form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Criminal Records Declaration Form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8"/>
                <w:szCs w:val="28"/>
                <w:rtl w:val="0"/>
              </w:rPr>
              <w:t xml:space="preserve">Childcare Disqualification Form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-480" w:firstLine="0"/>
        <w:contextualSpacing w:val="0"/>
        <w:rPr>
          <w:rFonts w:ascii="Times New Roman" w:cs="Times New Roman" w:eastAsia="Times New Roman" w:hAnsi="Times New Roman"/>
          <w:b w:val="0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38" w:w="11906"/>
      <w:pgMar w:bottom="1134" w:top="1134" w:left="1559" w:right="851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spacing w:after="397" w:before="0" w:line="240" w:lineRule="auto"/>
      <w:contextualSpacing w:val="0"/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az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